
<file path=[Content_Types].xml><?xml version="1.0" encoding="utf-8"?>
<Types xmlns="http://schemas.openxmlformats.org/package/2006/content-types">
  <Default Extension="png" ContentType="image/png"/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media/image1.png" ContentType="image/pn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 /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/Relationships>
</file>

<file path=word/document.xml><?xml version="1.0" encoding="utf-8"?>
<w:document xmlns:a="http://schemas.openxmlformats.org/drawingml/2006/main" xmlns:r="http://schemas.openxmlformats.org/officeDocument/2006/relationships" xmlns:wps="http://schemas.microsoft.com/office/word/2010/wordprocessingShape" xmlns:o="urn:schemas-microsoft-com:office:office" xmlns:w="http://schemas.openxmlformats.org/wordprocessingml/2006/main" xmlns:wpsCustomData="http://www.wps.cn/officeDocument/2013/wpsCustomData" xmlns:w10="urn:schemas-microsoft-com:office:word" xmlns:wpi="http://schemas.microsoft.com/office/word/2010/wordprocessingInk" xmlns:m="http://schemas.openxmlformats.org/officeDocument/2006/math" xmlns:w14="http://schemas.microsoft.com/office/word/2010/wordml" xmlns:mc="http://schemas.openxmlformats.org/markup-compatibility/2006" xmlns:pic="http://schemas.openxmlformats.org/drawingml/2006/picture" xmlns:wp14="http://schemas.microsoft.com/office/word/2010/wordprocessingDrawing" xmlns:v="urn:schemas-microsoft-com:vml" xmlns:wpg="http://schemas.microsoft.com/office/word/2010/wordprocessingGroup" xmlns:wp="http://schemas.openxmlformats.org/drawingml/2006/wordprocessingDrawing" xmlns:wpc="http://schemas.microsoft.com/office/word/2010/wordprocessingCanvas" mc:Ignorable="w14 wp14">
  <w:body>
    <w:tbl>
      <w:tblPr>
        <w:tblW w:w="10490" w:type="dxa"/>
        <w:tblInd w:type="dxa" w:w="0"/>
        <w:tblLook w:noVBand="1" w:noHBand="0" w:lastColumn="0" w:firstColumn="1" w:lastRow="0" w:firstRow="1" w:val="04A0"/>
      </w:tblPr>
      <w:tblGrid>
        <w:gridCol w:w="10466"/>
      </w:tblGrid>
      <w:tr>
        <w:trPr>
          <w:trHeight w:val="105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/>
              </w:rPr>
              <w:jc w:val="left"/>
            </w:pPr>
            <w:r>
              <w:rPr>
                <w:noProof/>
                <w:kern w:val="0"/>
                <w:sz w:val="24"/>
                <w:szCs w:val="24"/>
                <w:rFonts w:ascii="宋体" w:hAnsi="宋体" w:eastAsia="宋体" w:cs="宋体"/>
              </w:rPr>
              <w:drawing>
                <wp:anchor distT="0" distB="0" distL="0" distR="0" simplePos="0" relativeHeight="2" behindDoc="0" locked="0" layoutInCell="1" allowOverlap="1">
                  <wp:simplePos y="0" x="0"/>
                  <wp:positionH relativeFrom="column">
                    <wp:posOffset>53339</wp:posOffset>
                  </wp:positionH>
                  <wp:positionV relativeFrom="paragraph">
                    <wp:posOffset>30480</wp:posOffset>
                  </wp:positionV>
                  <wp:extent cy="579120" cx="2644140"/>
                  <wp:effectExtent b="0" r="0" t="0" l="0"/>
                  <wp:wrapNone/>
                  <wp:docPr id="1" name="图片 2082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图片 2082"/>
                          <pic:cNvPicPr/>
                        </pic:nvPicPr>
                        <pic:blipFill>
                          <a:blip r:embed="rId4" cstate="print"/>
                          <a:srcRect l="0" t="0" r="0" b="0"/>
                          <a:stretch/>
                        </pic:blipFill>
                        <pic:spPr>
                          <a:xfrm>
                            <a:off y="0" x="0"/>
                            <a:ext cy="579120" cx="2644140"/>
                          </a:xfrm>
                          <a:prstGeom prst="rect"/>
                          <a:ln w="12700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type="dxa" w:w="0"/>
              <w:tblInd w:type="dxa" w:w="0"/>
              <w:tblCellMar>
                <w:top w:type="dxa" w:w="0"/>
                <w:bottom w:type="dxa" w:w="0"/>
                <w:left w:type="dxa" w:w="0"/>
                <w:right w:type="dxa" w:w="0"/>
              </w:tblCellMar>
              <w:tblLook w:noVBand="1" w:noHBand="0" w:lastColumn="0" w:firstColumn="1" w:lastRow="0" w:firstRow="1" w:val="04A0"/>
            </w:tblPr>
            <w:tblGrid>
              <w:gridCol w:w="9860"/>
            </w:tblGrid>
            <w:tr>
              <w:trPr>
                <w:trHeight w:val="1050" w:hRule="atLeast"/>
                <w:tblCellSpacing w:type="dxa" w:w="0"/>
              </w:trPr>
              <w:tc>
                <w:tcPr>
                  <w:tcW w:w="9860" w:type="dxa"/>
                  <w:vAlign w:val="bottom"/>
                  <w:tcBorders>
                    <w:top w:val="nil" w:shadow="off" w:frame="off"/>
                    <w:left w:val="nil" w:shadow="off" w:frame="off"/>
                    <w:bottom w:val="nil" w:shadow="off" w:frame="off"/>
                    <w:right w:val="nil" w:shadow="off" w:frame="off"/>
                  </w:tcBorders>
                  <w:shd w:val="clear" w:color="auto" w:fill="auto"/>
                  <w:noWrap/>
                  <w:hideMark/>
                </w:tcPr>
                <w:p>
                  <w:pPr>
                    <w:pStyle w:val="style0"/>
                    <w:rPr>
                      <w:kern w:val="0"/>
                      <w:sz w:val="24"/>
                      <w:szCs w:val="24"/>
                      <w:rFonts w:ascii="宋体" w:hAnsi="宋体" w:eastAsia="宋体" w:cs="宋体"/>
                    </w:rPr>
                    <w:jc w:val="left"/>
                  </w:pPr>
                </w:p>
              </w:tc>
            </w:tr>
          </w:tbl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/>
              </w:rPr>
              <w:jc w:val="left"/>
            </w:pPr>
          </w:p>
        </w:tc>
      </w:tr>
      <w:tr>
        <w:tblPrEx/>
        <w:trPr>
          <w:trHeight w:val="31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>
        <w:tblPrEx/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>
        <w:tblPrEx/>
        <w:trPr>
          <w:trHeight w:val="90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      2022 — 2023学年第二学期</w:t>
            </w:r>
          </w:p>
        </w:tc>
      </w:tr>
      <w:tr>
        <w:tblPrEx/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/>
              </w:rPr>
              <w:jc w:val="center"/>
            </w:pPr>
            <w: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    音乐鉴赏  </w:t>
            </w: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教学计划</w:t>
            </w:r>
          </w:p>
        </w:tc>
      </w:tr>
      <w:tr>
        <w:tblPrEx/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/>
              </w:rPr>
              <w:jc w:val="center"/>
            </w:pPr>
          </w:p>
        </w:tc>
      </w:tr>
      <w:tr>
        <w:tblPrEx/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>
        <w:tblPrEx/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>
        <w:tblPrEx/>
        <w:trPr>
          <w:trHeight w:val="69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>
        <w:tblPrEx/>
        <w:trPr>
          <w:trHeight w:val="70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</w:t>
            </w:r>
            <w: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  经贸   </w:t>
            </w: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教学部</w:t>
            </w:r>
          </w:p>
        </w:tc>
      </w:tr>
      <w:tr>
        <w:tblPrEx/>
        <w:trPr>
          <w:trHeight w:val="70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专业</w:t>
            </w:r>
            <w: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音乐鉴赏   </w:t>
            </w: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班级</w:t>
            </w:r>
            <w: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 22计1  22计2  22计3  22计5  22会计  22电商</w:t>
            </w:r>
          </w:p>
        </w:tc>
      </w:tr>
      <w:tr>
        <w:tblPrEx/>
        <w:trPr>
          <w:trHeight w:val="72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任课教师</w:t>
            </w:r>
            <w: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      刘群   </w:t>
            </w:r>
            <w:r>
              <w:rPr>
                <w:b w:val="1"/>
                <w:bCs w:val="1"/>
                <w:kern w:val="0"/>
                <w:sz w:val="12"/>
                <w:szCs w:val="12"/>
                <w:rFonts w:ascii="宋体" w:hAnsi="宋体" w:eastAsia="宋体" w:cs="宋体" w:hint="eastAsia"/>
              </w:rPr>
              <w:t>.</w:t>
            </w:r>
          </w:p>
        </w:tc>
      </w:tr>
      <w:tr>
        <w:tblPrEx/>
        <w:trPr>
          <w:trHeight w:val="31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</w:p>
        </w:tc>
      </w:tr>
      <w:tr>
        <w:tblPrEx/>
        <w:trPr>
          <w:trHeight w:val="78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>
        <w:tblPrEx/>
        <w:trPr>
          <w:trHeight w:val="66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>
        <w:tblPrEx/>
        <w:trPr>
          <w:trHeight w:val="1305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                2023年2 月  8日</w:t>
            </w:r>
          </w:p>
        </w:tc>
      </w:tr>
      <w:tr>
        <w:tblPrEx/>
        <w:trPr>
          <w:trHeight w:val="1065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</w:p>
        </w:tc>
      </w:tr>
      <w:tr>
        <w:tblPrEx/>
        <w:trPr>
          <w:trHeight w:val="4485" w:hRule="atLeast"/>
        </w:trPr>
        <w:tc>
          <w:tcPr>
            <w:tcW w:w="10490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一、教学目标：</w:t>
            </w: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(目的要求、质量标准)</w:t>
            </w:r>
          </w:p>
          <w:p>
            <w:pPr>
              <w:pStyle w:val="style0"/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     1.以审美教育为核心，培养学生健康的审美情趣和感受、体验、鉴赏音乐美的能力，树立正确的审美观念。</w:t>
            </w:r>
          </w:p>
          <w:p>
            <w:pPr>
              <w:pStyle w:val="style0"/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     
2、突出艺术学科特点，寓思想品德教育于音乐教育之中，陶冶情操，提高修养。
</w:t>
            </w:r>
          </w:p>
          <w:p>
            <w:pPr>
              <w:pStyle w:val="style0"/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      3、在九年义务教育的基础上，进一步增强学生对音乐的爱好与爱好，把握必要的音乐知识与欣赏方法，开阔视野，启迪聪明，促进学生身心全面健康发展。
</w:t>
            </w:r>
          </w:p>
        </w:tc>
      </w:tr>
      <w:tr>
        <w:tblPrEx/>
        <w:trPr>
          <w:trHeight w:val="4410" w:hRule="atLeast"/>
        </w:trPr>
        <w:tc>
          <w:tcPr>
            <w:tcW w:w="10490" w:type="dxa"/>
            <w:tcBorders>
              <w:top w:val="nil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二、学情分析</w:t>
            </w: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：</w:t>
            </w:r>
          </w:p>
          <w:p>
            <w:pPr>
              <w:pStyle w:val="style0"/>
              <w:rPr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kern w:val="0"/>
                <w:sz w:val="32"/>
                <w:szCs w:val="32"/>
                <w:rFonts w:ascii="宋体" w:hAnsi="宋体" w:eastAsia="宋体" w:cs="宋体"/>
              </w:rPr>
              <w:t>    音乐欣赏教学应以聆听音乐为主，引导学生在情感体验的基础上对音乐作品进行分析、比较与评价，使他们在欣赏音乐的实践活动中熟悉、理解、鉴赏音乐。</w:t>
            </w:r>
          </w:p>
          <w:p>
            <w:pPr>
              <w:pStyle w:val="style0"/>
              <w:rPr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kern w:val="0"/>
                <w:sz w:val="32"/>
                <w:szCs w:val="32"/>
                <w:rFonts w:ascii="宋体" w:hAnsi="宋体" w:eastAsia="宋体" w:cs="宋体"/>
              </w:rPr>
              <w:t>    
1、调动学生的学习积极性，使他们主动地参与音乐审美活动。
1/4
         </w:t>
            </w:r>
          </w:p>
          <w:p>
            <w:pPr>
              <w:pStyle w:val="style0"/>
              <w:rPr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kern w:val="0"/>
                <w:sz w:val="32"/>
                <w:szCs w:val="32"/>
                <w:rFonts w:ascii="宋体" w:hAnsi="宋体" w:eastAsia="宋体" w:cs="宋体"/>
              </w:rPr>
              <w:t>    2、利用各种现代化的、直观性的音乐教具与学具，最大限度地强化学生的听觉审美感受。</w:t>
            </w:r>
          </w:p>
          <w:p>
            <w:pPr>
              <w:pStyle w:val="style0"/>
              <w:rPr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kern w:val="0"/>
                <w:sz w:val="32"/>
                <w:szCs w:val="32"/>
                <w:rFonts w:ascii="宋体" w:hAnsi="宋体" w:eastAsia="宋体" w:cs="宋体"/>
              </w:rPr>
              <w:t>
    3、课堂欣赏教学与课外欣赏活动（音乐会、音乐欣赏讲座、教师推荐的音乐作品录音等）有机地结合，充分发挥欣赏教学对课外欣赏活动的指导作用。
</w:t>
            </w:r>
          </w:p>
        </w:tc>
      </w:tr>
      <w:tr>
        <w:tblPrEx/>
        <w:trPr>
          <w:trHeight w:val="4680" w:hRule="atLeast"/>
        </w:trPr>
        <w:tc>
          <w:tcPr>
            <w:tcW w:w="10490" w:type="dxa"/>
            <w:tcBorders>
              <w:top w:val="nil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三、教材分析：</w:t>
            </w:r>
          </w:p>
          <w:p>
            <w:pPr>
              <w:pStyle w:val="style0"/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     在九年义务教育的基础上，进一步增强学生对音乐的爱好与爱好，把握必要的音乐知识与欣赏方法，开阔视野，启迪聪明，促进学生身心全面健康发展。
</w:t>
            </w:r>
          </w:p>
        </w:tc>
      </w:tr>
    </w:tbl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tbl>
      <w:tblPr>
        <w:tblW w:w="10485" w:type="dxa"/>
        <w:tblInd w:type="dxa" w:w="0"/>
        <w:tblLook w:noVBand="1" w:noHBand="0" w:lastColumn="0" w:firstColumn="1" w:lastRow="0" w:firstRow="1" w:val="04A0"/>
      </w:tblPr>
      <w:tblGrid>
        <w:gridCol w:w="10466"/>
      </w:tblGrid>
      <w:tr>
        <w:trPr>
          <w:trHeight w:val="4635" w:hRule="atLeast"/>
        </w:trPr>
        <w:tc>
          <w:tcPr>
            <w:tcW w:w="10485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nil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四、教学重点难点：</w:t>
            </w:r>
          </w:p>
          <w:p>
            <w:pPr>
              <w:pStyle w:val="style0"/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     在教学过程中，学生对作品结构的深入分析，会出现一定的难度而略感乏味，但作为一节音乐鉴赏课，教师有责任和义务进行必要的讲解，如此，才能不断培养学生音乐素养和鉴赏能力</w:t>
            </w:r>
          </w:p>
        </w:tc>
      </w:tr>
      <w:tr>
        <w:tblPrEx/>
        <w:trPr>
          <w:trHeight w:val="8190" w:hRule="atLeast"/>
        </w:trPr>
        <w:tc>
          <w:tcPr>
            <w:tcW w:w="10485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五、教学方法及采取措施：</w:t>
            </w:r>
          </w:p>
          <w:p>
            <w:pPr>
              <w:pStyle w:val="style0"/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    教学措施
面向全体学生，注重个性发展，重视音乐实践，增强创造意识
</w:t>
            </w:r>
          </w:p>
          <w:p>
            <w:pPr>
              <w:pStyle w:val="style0"/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     1、强化治理，突出重点，抓住高考生命线</w:t>
            </w:r>
          </w:p>
          <w:p>
            <w:pPr>
              <w:pStyle w:val="style0"/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     2、树立坚定的事业心，虚心好学，努力提高专业水平</w:t>
            </w:r>
          </w:p>
          <w:p>
            <w:pPr>
              <w:pStyle w:val="style0"/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    
3、加强教研教改，注重教学方法，努力提高教学质量
</w:t>
            </w:r>
          </w:p>
          <w:p>
            <w:pPr>
              <w:pStyle w:val="style0"/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     4、加强合作，优势互补，共同提高四教学内容
1、欣赏民歌、艺术歌曲、说唱音乐、戏曲音乐、歌剧、舞剧音乐、器乐曲、室内乐、交响音乐等音乐
作品。介绍有关音乐常识。
2、通过欣赏音乐，使学生了解音乐的节奏、旋律</w:t>
            </w:r>
          </w:p>
          <w:p>
            <w:pPr/>
          </w:p>
        </w:tc>
      </w:tr>
      <w:tr>
        <w:tblPrEx/>
        <w:trPr>
          <w:trHeight w:val="540" w:hRule="atLeast"/>
        </w:trPr>
        <w:tc>
          <w:tcPr>
            <w:tcW w:w="10485" w:type="dxa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附：学 期 授 课 计 划 表</w:t>
            </w:r>
          </w:p>
        </w:tc>
      </w:tr>
    </w:tbl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>
          <w:b w:val="1"/>
          <w:sz w:val="44"/>
          <w:rFonts w:hint="eastAsia"/>
        </w:rPr>
        <w:jc w:val="center"/>
      </w:pPr>
      <w:r>
        <w:rPr>
          <w:b w:val="1"/>
          <w:sz w:val="44"/>
          <w:rFonts w:hint="eastAsia"/>
        </w:rPr>
        <w:t>学</w:t>
      </w:r>
      <w:r>
        <w:rPr>
          <w:b w:val="1"/>
          <w:sz w:val="44"/>
        </w:rPr>
        <w:t xml:space="preserve"> 期 授 课 计 划 表</w:t>
      </w:r>
    </w:p>
    <w:p>
      <w:pPr>
        <w:pStyle w:val="style0"/>
        <w:rPr>
          <w:rFonts w:hint="eastAsia"/>
        </w:rPr>
      </w:pPr>
    </w:p>
    <w:tbl>
      <w:tblPr>
        <w:tblW w:w="10480" w:type="dxa"/>
        <w:tblInd w:type="dxa" w:w="0"/>
        <w:tblLook w:noVBand="1" w:noHBand="0" w:lastColumn="0" w:firstColumn="1" w:lastRow="0" w:firstRow="1" w:val="04A0"/>
      </w:tblPr>
      <w:tblGrid>
        <w:gridCol w:w="840"/>
        <w:gridCol w:w="2060"/>
        <w:gridCol w:w="3932"/>
        <w:gridCol w:w="2476"/>
        <w:gridCol w:w="600"/>
        <w:gridCol w:w="560"/>
      </w:tblGrid>
      <w:tr>
        <w:trPr>
          <w:trHeight w:val="801" w:hRule="atLeast"/>
        </w:trPr>
        <w:tc>
          <w:tcPr>
            <w:tcW w:w="840" w:type="dxa"/>
            <w:vAlign w:val="center"/>
            <w:tcBorders>
              <w:top w:val="single" w:color="auto" w:sz="8" w:space="0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/>
              </w:rPr>
              <w:jc w:val="center"/>
            </w:pPr>
            <w: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周次</w:t>
            </w:r>
          </w:p>
        </w:tc>
        <w:tc>
          <w:tcPr>
            <w:tcW w:w="206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时间</w:t>
            </w:r>
          </w:p>
        </w:tc>
        <w:tc>
          <w:tcPr>
            <w:tcW w:w="394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授课章节及内容提要</w:t>
            </w:r>
          </w:p>
        </w:tc>
        <w:tc>
          <w:tcPr>
            <w:tcW w:w="248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重点和难点</w:t>
            </w:r>
          </w:p>
        </w:tc>
        <w:tc>
          <w:tcPr>
            <w:tcW w:w="60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课时</w:t>
            </w:r>
          </w:p>
        </w:tc>
        <w:tc>
          <w:tcPr>
            <w:tcW w:w="56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备注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2.06--2.10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音乐鉴赏基础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我和我的祖国</w:t>
            </w:r>
          </w:p>
        </w:tc>
        <w:tc>
          <w:tcPr>
            <w:tcW w:w="60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hideMark/>
          </w:tcPr>
          <w:p>
            <w:pPr>
              <w:pStyle w:val="style0"/>
              <w:rPr>
                <w:kern w:val="0"/>
                <w:sz w:val="18"/>
                <w:szCs w:val="18"/>
                <w:rFonts w:ascii="楷体_GB2312" w:hAnsi="宋体" w:eastAsia="楷体_GB2312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2.13--2.17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中国民歌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民歌特点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2.20--2.24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外国歌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歌曲特点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4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2.27--3.03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中国艺术歌曲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中国艺术歌曲特点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5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3.06--3.10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外国艺术歌曲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外国艺术歌曲特点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6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3.13--3.17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中国民族器乐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不同民族器乐特点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7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3.20--3.24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民族器乐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不同民族器乐音色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8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3.27--3.31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民族器乐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器乐演奏不同的音乐情绪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9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4.03--4.07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外国器乐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钢琴曲  单簧管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清明节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10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4.10--4.14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外国器乐交响乐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交响乐形式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t xml:space="preserve"> 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4.17--4.21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所有曲目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音乐形式  情绪  情感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期中考试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4.24--4.28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中国戏曲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京剧豫剧昆曲黄梅戏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5.01--5.05</w:t>
            </w:r>
          </w:p>
        </w:tc>
        <w:tc>
          <w:tcPr>
            <w:tcW w:w="7580" w:type="dxa"/>
            <w:gridSpan w:val="4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000000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5.1假期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14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5.08--5.12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中国曲艺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棒子  京韵大鼓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15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5.15--5.19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中国歌剧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中通歌剧艺术表达情感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single" w:color="auto" w:sz="4" w:space="0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16</w:t>
            </w:r>
          </w:p>
        </w:tc>
        <w:tc>
          <w:tcPr>
            <w:tcW w:w="2060" w:type="dxa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5.22--5.26</w:t>
            </w:r>
          </w:p>
          <w:bookmarkStart w:id="0" w:name="_GoBack"/>
          <w:bookmarkEnd w:id="0"/>
        </w:tc>
        <w:tc>
          <w:tcPr>
            <w:tcW w:w="3940" w:type="dxa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外国歌剧</w:t>
            </w:r>
          </w:p>
        </w:tc>
        <w:tc>
          <w:tcPr>
            <w:tcW w:w="248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外国歌剧艺术</w:t>
            </w:r>
          </w:p>
        </w:tc>
        <w:tc>
          <w:tcPr>
            <w:tcW w:w="60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/>
                <w:rFonts w:ascii="宋体" w:hAnsi="宋体" w:eastAsia="宋体" w:cs="宋体" w:hint="default"/>
              </w:rPr>
              <w:t>2</w:t>
            </w:r>
          </w:p>
        </w:tc>
        <w:tc>
          <w:tcPr>
            <w:tcW w:w="56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17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5.29--6.02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流行歌曲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国的旋律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/>
                <w:rFonts w:ascii="宋体" w:hAnsi="宋体" w:eastAsia="宋体" w:cs="宋体" w:hint="default"/>
              </w:rPr>
              <w:t>2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18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6.05--6.09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舞蹈音乐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赞歌  反弹琵琶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/>
                <w:rFonts w:ascii="宋体" w:hAnsi="宋体" w:eastAsia="宋体" w:cs="宋体" w:hint="default"/>
              </w:rPr>
              <w:t>2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19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6.12--6.16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舞蹈音乐</w:t>
            </w:r>
          </w:p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鼓舞鉴赏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/>
                <w:rFonts w:ascii="宋体" w:hAnsi="宋体" w:eastAsia="宋体" w:cs="宋体" w:hint="default"/>
              </w:rPr>
              <w:t>2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20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6.19--6.23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音乐鉴赏课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音乐的形式  表达思想  情绪情感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/>
                <w:rFonts w:ascii="宋体" w:hAnsi="宋体" w:eastAsia="宋体" w:cs="宋体" w:hint="default"/>
              </w:rPr>
              <w:t>2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6.26--6.30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期末复习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7.03--7.07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期末考试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7.10--7.12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成绩分析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</w:tbl>
    <w:p>
      <w:pPr>
        <w:pStyle w:val="style0"/>
        <w:rPr>
          <w:rFonts w:hint="eastAsia"/>
        </w:rPr>
      </w:pPr>
    </w:p>
    <w:sectPr>
      <w:docGrid w:type="lines" w:linePitch="312"/>
      <w:pgSz w:w="11906" w:h="16838" w:orient="portrait"/>
      <w:pgMar w:top="720" w:right="720" w:bottom="720" w:left="720" w:header="851" w:footer="992" w:gutter="0"/>
      <w:cols w:space="42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14="http://schemas.microsoft.com/office/word/2010/wordml" xmlns:w="http://schemas.openxmlformats.org/wordprocessingml/2006/main" mc:Ignorable="w14">
  <w:font w:name="等线">
    <w:altName w:val="DengXian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_GB2312"/>
    <w:panose1 w:val="020106090300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等线 Light"/>
    <w:panose1 w:val="020106000300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bordersDoNotSurroundHeader/>
  <w:bordersDoNotSurroundFooter/>
  <w:proofState w:grammar="clean" w:spelling="clean"/>
  <w:defaultTabStop w:val="420"/>
  <w:drawingGridVerticalSpacing w:val="156"/>
  <w:drawingGridHorizontalSpacing w:val="105"/>
  <w:displayHorizontalDrawingGridEvery w:val="0"/>
  <w:displayVerticalDrawingGridEvery w:val="2"/>
  <w:characterSpacingControl w:val="compressPunctuation"/>
  <w:zoom w:percent="130"/>
  <w:compat>
    <w:spaceForUL/>
    <w:balanceSingleByteDoubleByteWidth/>
    <w:doNotLeaveBackslashAlone/>
    <w:ulTrailSpace/>
    <w:doNotExpandShiftReturn/>
    <w:adjustLineHeightInTable/>
    <w:useFELayout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  <w:compatSetting w:val="0" w:uri="http://schemas.microsoft.com/office/word" w:name="useWord2013TrackBottomHyphenation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pPrDefault/>
    <w:pPrDefault>
      <w:pPr/>
    </w:pPrDefault>
  </w:docDefaults>
  <w:style w:type="paragraph" w:styleId="style0" w:default="1">
    <w:name w:val="Normal"/>
    <w:qFormat/>
    <w:pPr>
      <w:widowControl w:val="false"/>
      <w:jc w:val="both"/>
    </w:pPr>
    <w:rPr/>
  </w:style>
  <w:style w:type="character" w:styleId="style65" w:default="1">
    <w:name w:val="Default Paragraph Font"/>
    <w:uiPriority w:val="1"/>
  </w:style>
  <w:style w:type="table" w:styleId="style105" w:default="1">
    <w:name w:val="Normal Table"/>
    <w:uiPriority w:val="99"/>
    <w:pPr/>
    <w:rPr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type="numbering" w:styleId="style107" w:default="1">
    <w:name w:val="No List"/>
    <w:uiPriority w:val="99"/>
    <w:pPr/>
  </w:style>
</w:styles>
</file>

<file path=word/_rels/document.xml.rels><?xml version="1.0" encoding="UTF-8" standalone="yes"?><Relationships xmlns="http://schemas.openxmlformats.org/package/2006/relationships"><Relationship Id="rId4" Type="http://schemas.openxmlformats.org/officeDocument/2006/relationships/image" Target="media/image1.png" /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新細明體" script="Hant"/>
        <a:font typeface="Times New Roman" script="Arab"/>
        <a:font typeface="Tunga" script="Knda"/>
        <a:font typeface="Latha" script="Taml"/>
        <a:font typeface="Nyala" script="Ethi"/>
        <a:font typeface="宋体" script="Hans"/>
        <a:font typeface="Raavi" script="Guru"/>
        <a:font typeface="Microsoft Yi Baiti" script="Yiii"/>
        <a:font typeface="MV Boli" script="Thaa"/>
        <a:font typeface="ＭＳ ゴシック" script="Jpan"/>
        <a:font typeface="Vrinda" script="Beng"/>
        <a:font typeface="Microsoft Uighur" script="Uigh"/>
        <a:font typeface="Angsana New" script="Thai"/>
        <a:font typeface="Shruti" script="Gujr"/>
        <a:font typeface="Estrangelo Edessa" script="Syrc"/>
        <a:font typeface="MoolBoran" script="Khmr"/>
        <a:font typeface="Euphemia" script="Cans"/>
        <a:font typeface="Kalinga" script="Orya"/>
        <a:font typeface="Mangal" script="Deva"/>
        <a:font typeface="맑은 고딕" script="Hang"/>
        <a:font typeface="Mongolian Baiti" script="Mong"/>
        <a:font typeface="Kartika" script="Mlym"/>
        <a:font typeface="Gautami" script="Telu"/>
        <a:font typeface="Plantagenet Cherokee" script="Cher"/>
        <a:font typeface="Times New Roman" script="Hebr"/>
        <a:font typeface="Iskoola Pota" script="Sinh"/>
        <a:font typeface="Sylfaen" script="Geor"/>
        <a:font typeface="DokChampa" script="Laoo"/>
        <a:font typeface="Microsoft Himalaya" script="Tibt"/>
        <a:font typeface="Times New Roman" script="Viet"/>
      </a:majorFont>
      <a:minorFont>
        <a:latin typeface="Calibri"/>
        <a:ea typeface=""/>
        <a:cs typeface=""/>
        <a:font typeface="新細明體" script="Hant"/>
        <a:font typeface="Arial" script="Arab"/>
        <a:font typeface="Tunga" script="Knda"/>
        <a:font typeface="Latha" script="Taml"/>
        <a:font typeface="Nyala" script="Ethi"/>
        <a:font typeface="宋体" script="Hans"/>
        <a:font typeface="Raavi" script="Guru"/>
        <a:font typeface="Microsoft Yi Baiti" script="Yiii"/>
        <a:font typeface="MV Boli" script="Thaa"/>
        <a:font typeface="ＭＳ 明朝" script="Jpan"/>
        <a:font typeface="Vrinda" script="Beng"/>
        <a:font typeface="Microsoft Uighur" script="Uigh"/>
        <a:font typeface="Cordia New" script="Thai"/>
        <a:font typeface="Shruti" script="Gujr"/>
        <a:font typeface="Estrangelo Edessa" script="Syrc"/>
        <a:font typeface="DaunPenh" script="Khmr"/>
        <a:font typeface="Euphemia" script="Cans"/>
        <a:font typeface="Kalinga" script="Orya"/>
        <a:font typeface="Mangal" script="Deva"/>
        <a:font typeface="맑은 고딕" script="Hang"/>
        <a:font typeface="Mongolian Baiti" script="Mong"/>
        <a:font typeface="Kartika" script="Mlym"/>
        <a:font typeface="Gautami" script="Telu"/>
        <a:font typeface="Plantagenet Cherokee" script="Cher"/>
        <a:font typeface="Arial" script="Hebr"/>
        <a:font typeface="Iskoola Pota" script="Sinh"/>
        <a:font typeface="Sylfaen" script="Geor"/>
        <a:font typeface="DokChampa" script="Laoo"/>
        <a:font typeface="Microsoft Himalaya" script="Tibt"/>
        <a:font typeface="Arial" script="Vie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scaled="0" ang="1620000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1515</Words>
  <Characters>1770</Characters>
  <Application>WPS Office</Application>
  <DocSecurity>0</DocSecurity>
  <Lines>0</Lines>
  <Paragraphs>234</Paragraphs>
  <ScaleCrop>false</ScaleCrop>
  <Company/>
  <LinksUpToDate>false</LinksUpToDate>
  <CharactersWithSpaces>1914</CharactersWithSpaces>
  <SharedDoc>false</SharedDoc>
  <HyperlinksChanged>false</HyperlinksChanged>
  <AppVersion>16.000</AppVersion>
</Properties>
</file>

<file path=docProps/core.xml><?xml version="1.0" encoding="utf-8"?>
<cp:coreProperties xmlns:dcmitype="http://purl.org/dc/dcmitype/" xmlns:dc="http://purl.org/dc/elements/1.1/" xmlns:cp="http://schemas.openxmlformats.org/package/2006/metadata/core-properties" xmlns:dcterms="http://purl.org/dc/terms/" xmlns:xsi="http://www.w3.org/2001/XMLSchema-instance">
  <dc:title/>
  <dc:subject/>
  <dc:creator/>
  <cp:keywords/>
  <dc:description/>
  <cp:lastModifiedBy/>
  <cp:revision>0</cp:revision>
</cp:coreProperties>
</file>

<file path=tbak/document.xml><?xml version="1.0" encoding="utf-8"?>
<w:document xmlns:wpc="http://schemas.microsoft.com/office/word/2010/wordprocessingCanvas" xmlns:wp="http://schemas.openxmlformats.org/drawingml/2006/wordprocessingDrawing" xmlns:wpg="http://schemas.microsoft.com/office/word/2010/wordprocessingGroup" xmlns:v="urn:schemas-microsoft-com:vml" xmlns:wp14="http://schemas.microsoft.com/office/word/2010/wordprocessingDrawing" xmlns:pic="http://schemas.openxmlformats.org/drawingml/2006/picture" xmlns:mc="http://schemas.openxmlformats.org/markup-compatibility/2006" xmlns:w14="http://schemas.microsoft.com/office/word/2010/wordml" xmlns:m="http://schemas.openxmlformats.org/officeDocument/2006/math" xmlns:w10="urn:schemas-microsoft-com:office:word" xmlns:wpi="http://schemas.microsoft.com/office/word/2010/wordprocessingInk" xmlns:wpsCustomData="http://www.wps.cn/officeDocument/2013/wpsCustomData" xmlns:w="http://schemas.openxmlformats.org/wordprocessingml/2006/main" xmlns:o="urn:schemas-microsoft-com:office:office" xmlns:wps="http://schemas.microsoft.com/office/word/2010/wordprocessingShape" xmlns:r="http://schemas.openxmlformats.org/officeDocument/2006/relationships" xmlns:a="http://schemas.openxmlformats.org/drawingml/2006/main" mc:Ignorable="w14 wp14">
  <w:body>
    <w:tbl>
      <w:tblPr>
        <w:tblW w:w="10490" w:type="dxa"/>
        <w:tblInd w:type="dxa" w:w="0"/>
        <w:tblLook w:noVBand="1" w:noHBand="0" w:lastColumn="0" w:firstColumn="1" w:lastRow="0" w:firstRow="1" w:val="04A0"/>
      </w:tblPr>
      <w:tblGrid>
        <w:gridCol w:w="10466"/>
      </w:tblGrid>
      <w:tr>
        <w:trPr>
          <w:trHeight w:val="105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/>
              </w:rPr>
              <w:jc w:val="left"/>
            </w:pPr>
            <w:r>
              <w:rPr>
                <w:noProof/>
                <w:kern w:val="0"/>
                <w:sz w:val="24"/>
                <w:szCs w:val="24"/>
                <w:rFonts w:ascii="宋体" w:hAnsi="宋体" w:eastAsia="宋体" w:cs="宋体"/>
              </w:rPr>
              <w:drawing>
                <wp:anchor distT="0" distB="0" distL="0" distR="0" simplePos="0" relativeHeight="2" behindDoc="0" locked="0" layoutInCell="1" allowOverlap="1">
                  <wp:simplePos y="0" x="0"/>
                  <wp:positionH relativeFrom="column">
                    <wp:posOffset>53339</wp:posOffset>
                  </wp:positionH>
                  <wp:positionV relativeFrom="paragraph">
                    <wp:posOffset>30480</wp:posOffset>
                  </wp:positionV>
                  <wp:extent cy="579120" cx="2644140"/>
                  <wp:effectExtent b="0" r="0" t="0" l="0"/>
                  <wp:wrapNone/>
                  <wp:docPr id="1" name="图片 2082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图片 2082"/>
                          <pic:cNvPicPr/>
                        </pic:nvPicPr>
                        <pic:blipFill>
                          <a:blip r:embed="rId4" cstate="print"/>
                          <a:srcRect l="0" t="0" r="0" b="0"/>
                          <a:stretch/>
                        </pic:blipFill>
                        <pic:spPr>
                          <a:xfrm>
                            <a:off y="0" x="0"/>
                            <a:ext cy="579120" cx="2644140"/>
                          </a:xfrm>
                          <a:prstGeom prst="rect"/>
                          <a:ln w="12700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type="dxa" w:w="0"/>
              <w:tblInd w:type="dxa" w:w="0"/>
              <w:tblCellMar>
                <w:top w:type="dxa" w:w="0"/>
                <w:bottom w:type="dxa" w:w="0"/>
                <w:left w:type="dxa" w:w="0"/>
                <w:right w:type="dxa" w:w="0"/>
              </w:tblCellMar>
              <w:tblLook w:noVBand="1" w:noHBand="0" w:lastColumn="0" w:firstColumn="1" w:lastRow="0" w:firstRow="1" w:val="04A0"/>
            </w:tblPr>
            <w:tblGrid>
              <w:gridCol w:w="9860"/>
            </w:tblGrid>
            <w:tr>
              <w:trPr>
                <w:trHeight w:val="1050" w:hRule="atLeast"/>
                <w:tblCellSpacing w:type="dxa" w:w="0"/>
              </w:trPr>
              <w:tc>
                <w:tcPr>
                  <w:tcW w:w="9860" w:type="dxa"/>
                  <w:vAlign w:val="bottom"/>
                  <w:tcBorders>
                    <w:top w:val="nil" w:shadow="off" w:frame="off"/>
                    <w:left w:val="nil" w:shadow="off" w:frame="off"/>
                    <w:bottom w:val="nil" w:shadow="off" w:frame="off"/>
                    <w:right w:val="nil" w:shadow="off" w:frame="off"/>
                  </w:tcBorders>
                  <w:shd w:val="clear" w:color="auto" w:fill="auto"/>
                  <w:noWrap/>
                  <w:hideMark/>
                </w:tcPr>
                <w:p>
                  <w:pPr>
                    <w:pStyle w:val="style0"/>
                    <w:rPr>
                      <w:kern w:val="0"/>
                      <w:sz w:val="24"/>
                      <w:szCs w:val="24"/>
                      <w:rFonts w:ascii="宋体" w:hAnsi="宋体" w:eastAsia="宋体" w:cs="宋体"/>
                    </w:rPr>
                    <w:jc w:val="left"/>
                  </w:pPr>
                </w:p>
              </w:tc>
            </w:tr>
          </w:tbl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/>
              </w:rPr>
              <w:jc w:val="left"/>
            </w:pPr>
          </w:p>
        </w:tc>
      </w:tr>
      <w:tr>
        <w:tblPrEx/>
        <w:trPr>
          <w:trHeight w:val="31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>
        <w:tblPrEx/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>
        <w:tblPrEx/>
        <w:trPr>
          <w:trHeight w:val="90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      2022 — 2023学年第二学期</w:t>
            </w:r>
          </w:p>
        </w:tc>
      </w:tr>
      <w:tr>
        <w:tblPrEx/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/>
              </w:rPr>
              <w:jc w:val="center"/>
            </w:pPr>
            <w: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    舞蹈   </w:t>
            </w: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教学计划</w:t>
            </w:r>
          </w:p>
        </w:tc>
      </w:tr>
      <w:tr>
        <w:tblPrEx/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/>
              </w:rPr>
              <w:jc w:val="center"/>
            </w:pPr>
          </w:p>
        </w:tc>
      </w:tr>
      <w:tr>
        <w:tblPrEx/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>
        <w:tblPrEx/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>
        <w:tblPrEx/>
        <w:trPr>
          <w:trHeight w:val="69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>
        <w:tblPrEx/>
        <w:trPr>
          <w:trHeight w:val="70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</w:t>
            </w:r>
            <w: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  经贸   </w:t>
            </w: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教学部</w:t>
            </w:r>
          </w:p>
        </w:tc>
      </w:tr>
      <w:tr>
        <w:tblPrEx/>
        <w:trPr>
          <w:trHeight w:val="70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专业</w:t>
            </w:r>
            <w: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舞蹈    </w:t>
            </w: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班级</w:t>
            </w:r>
            <w: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 22计1  22计2  22计3  22计5  22会计  22电商</w:t>
            </w:r>
          </w:p>
        </w:tc>
      </w:tr>
      <w:tr>
        <w:tblPrEx/>
        <w:trPr>
          <w:trHeight w:val="72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任课教师</w:t>
            </w:r>
            <w: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      刘群   </w:t>
            </w:r>
            <w:r>
              <w:rPr>
                <w:b w:val="1"/>
                <w:bCs w:val="1"/>
                <w:kern w:val="0"/>
                <w:sz w:val="12"/>
                <w:szCs w:val="12"/>
                <w:rFonts w:ascii="宋体" w:hAnsi="宋体" w:eastAsia="宋体" w:cs="宋体" w:hint="eastAsia"/>
              </w:rPr>
              <w:t>.</w:t>
            </w:r>
          </w:p>
        </w:tc>
      </w:tr>
      <w:tr>
        <w:tblPrEx/>
        <w:trPr>
          <w:trHeight w:val="31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</w:p>
        </w:tc>
      </w:tr>
      <w:tr>
        <w:tblPrEx/>
        <w:trPr>
          <w:trHeight w:val="78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>
        <w:tblPrEx/>
        <w:trPr>
          <w:trHeight w:val="66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>
        <w:tblPrEx/>
        <w:trPr>
          <w:trHeight w:val="1305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                2023年2 月  8日</w:t>
            </w:r>
          </w:p>
        </w:tc>
      </w:tr>
      <w:tr>
        <w:tblPrEx/>
        <w:trPr>
          <w:trHeight w:val="1065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</w:p>
        </w:tc>
      </w:tr>
      <w:tr>
        <w:tblPrEx/>
        <w:trPr>
          <w:trHeight w:val="4485" w:hRule="atLeast"/>
        </w:trPr>
        <w:tc>
          <w:tcPr>
            <w:tcW w:w="10490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一、教学目标：</w:t>
            </w: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(目的要求、质量标准)</w:t>
            </w:r>
          </w:p>
          <w:p>
            <w:pPr>
              <w:pStyle w:val="style0"/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     1.以审美教育为核心，培养学生健康的审美情趣和感受、体验、鉴赏音乐美的能力，树立正确的审美观念。</w:t>
            </w:r>
          </w:p>
          <w:p>
            <w:pPr>
              <w:pStyle w:val="style0"/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     
2、突出艺术学科特点，寓思想品德教育于音乐教育之中，陶冶情操，提高修养。
</w:t>
            </w:r>
          </w:p>
          <w:p>
            <w:pPr>
              <w:pStyle w:val="style0"/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      3、在九年义务教育的基础上，进一步增强学生对音乐的爱好与爱好，把握必要的音乐知识与欣赏方法，开阔视野，启迪聪明，促进学生身心全面健康发展。
</w:t>
            </w:r>
          </w:p>
        </w:tc>
      </w:tr>
      <w:tr>
        <w:tblPrEx/>
        <w:trPr>
          <w:trHeight w:val="4410" w:hRule="atLeast"/>
        </w:trPr>
        <w:tc>
          <w:tcPr>
            <w:tcW w:w="10490" w:type="dxa"/>
            <w:tcBorders>
              <w:top w:val="nil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二、学情分析</w:t>
            </w: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：</w:t>
            </w:r>
          </w:p>
          <w:p>
            <w:pPr>
              <w:pStyle w:val="style0"/>
              <w:rPr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kern w:val="0"/>
                <w:sz w:val="32"/>
                <w:szCs w:val="32"/>
                <w:rFonts w:ascii="宋体" w:hAnsi="宋体" w:eastAsia="宋体" w:cs="宋体"/>
              </w:rPr>
              <w:t>    音乐欣赏教学应以聆听音乐为主，引导学生在情感体验的基础上对音乐作品进行分析、比较与评价，使他们在欣赏音乐的实践活动中熟悉、理解、鉴赏音乐。</w:t>
            </w:r>
          </w:p>
          <w:p>
            <w:pPr>
              <w:pStyle w:val="style0"/>
              <w:rPr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kern w:val="0"/>
                <w:sz w:val="32"/>
                <w:szCs w:val="32"/>
                <w:rFonts w:ascii="宋体" w:hAnsi="宋体" w:eastAsia="宋体" w:cs="宋体"/>
              </w:rPr>
              <w:t>    
1、调动学生的学习积极性，使他们主动地参与音乐审美活动。
1/4
         </w:t>
            </w:r>
          </w:p>
          <w:p>
            <w:pPr>
              <w:pStyle w:val="style0"/>
              <w:rPr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kern w:val="0"/>
                <w:sz w:val="32"/>
                <w:szCs w:val="32"/>
                <w:rFonts w:ascii="宋体" w:hAnsi="宋体" w:eastAsia="宋体" w:cs="宋体"/>
              </w:rPr>
              <w:t>    2、利用各种现代化的、直观性的音乐教具与学具，最大限度地强化学生的听觉审美感受。</w:t>
            </w:r>
          </w:p>
          <w:p>
            <w:pPr>
              <w:pStyle w:val="style0"/>
              <w:rPr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kern w:val="0"/>
                <w:sz w:val="32"/>
                <w:szCs w:val="32"/>
                <w:rFonts w:ascii="宋体" w:hAnsi="宋体" w:eastAsia="宋体" w:cs="宋体"/>
              </w:rPr>
              <w:t>
    3、课堂欣赏教学与课外欣赏活动（音乐会、音乐欣赏讲座、教师推荐的音乐作品录音等）有机地结合，充分发挥欣赏教学对课外欣赏活动的指导作用。
</w:t>
            </w:r>
          </w:p>
        </w:tc>
      </w:tr>
      <w:tr>
        <w:tblPrEx/>
        <w:trPr>
          <w:trHeight w:val="4680" w:hRule="atLeast"/>
        </w:trPr>
        <w:tc>
          <w:tcPr>
            <w:tcW w:w="10490" w:type="dxa"/>
            <w:tcBorders>
              <w:top w:val="nil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三、教材分析：</w:t>
            </w:r>
          </w:p>
          <w:p>
            <w:pPr>
              <w:pStyle w:val="style0"/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     在九年义务教育的基础上，进一步增强学生对音乐的爱好与爱好，把握必要的音乐知识与欣赏方法，开阔视野，启迪聪明，促进学生身心全面健康发展。
</w:t>
            </w:r>
          </w:p>
        </w:tc>
      </w:tr>
    </w:tbl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tbl>
      <w:tblPr>
        <w:tblW w:w="10485" w:type="dxa"/>
        <w:tblInd w:type="dxa" w:w="0"/>
        <w:tblLook w:noVBand="1" w:noHBand="0" w:lastColumn="0" w:firstColumn="1" w:lastRow="0" w:firstRow="1" w:val="04A0"/>
      </w:tblPr>
      <w:tblGrid>
        <w:gridCol w:w="10466"/>
      </w:tblGrid>
      <w:tr>
        <w:trPr>
          <w:trHeight w:val="4635" w:hRule="atLeast"/>
        </w:trPr>
        <w:tc>
          <w:tcPr>
            <w:tcW w:w="10485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nil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四、教学重点难点：</w:t>
            </w:r>
          </w:p>
          <w:p>
            <w:pPr>
              <w:pStyle w:val="style0"/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     在教学过程中，学生对作品结构的深入分析，会出现一定的难度而略感乏味，但作为一节音乐鉴赏课，教师有责任和义务进行必要的讲解，如此，才能不断培养学生音乐素养和鉴赏能力</w:t>
            </w:r>
          </w:p>
        </w:tc>
      </w:tr>
      <w:tr>
        <w:tblPrEx/>
        <w:trPr>
          <w:trHeight w:val="8190" w:hRule="atLeast"/>
        </w:trPr>
        <w:tc>
          <w:tcPr>
            <w:tcW w:w="10485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五、教学方法及采取措施：</w:t>
            </w:r>
          </w:p>
          <w:p>
            <w:pPr>
              <w:pStyle w:val="style0"/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    教学措施
面向全体学生，注重个性发展，重视音乐实践，增强创造意识
</w:t>
            </w:r>
          </w:p>
          <w:p>
            <w:pPr>
              <w:pStyle w:val="style0"/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     1、强化治理，突出重点，抓住高考生命线</w:t>
            </w:r>
          </w:p>
          <w:p>
            <w:pPr>
              <w:pStyle w:val="style0"/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     2、树立坚定的事业心，虚心好学，努力提高专业水平</w:t>
            </w:r>
          </w:p>
          <w:p>
            <w:pPr>
              <w:pStyle w:val="style0"/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    
3、加强教研教改，注重教学方法，努力提高教学质量
</w:t>
            </w:r>
          </w:p>
          <w:p>
            <w:pPr>
              <w:pStyle w:val="style0"/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     4、加强合作，优势互补，共同提高四教学内容
1、欣赏民歌、艺术歌曲、说唱音乐、戏曲音乐、歌剧、舞剧音乐、器乐曲、室内乐、交响音乐等音乐
作品。介绍有关音乐常识。
2、通过欣赏音乐，使学生了解音乐的节奏、旋律</w:t>
            </w:r>
          </w:p>
          <w:p>
            <w:pPr/>
          </w:p>
        </w:tc>
      </w:tr>
      <w:tr>
        <w:tblPrEx/>
        <w:trPr>
          <w:trHeight w:val="540" w:hRule="atLeast"/>
        </w:trPr>
        <w:tc>
          <w:tcPr>
            <w:tcW w:w="10485" w:type="dxa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附：学 期 授 课 计 划 表</w:t>
            </w:r>
          </w:p>
        </w:tc>
      </w:tr>
    </w:tbl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>
          <w:b w:val="1"/>
          <w:sz w:val="44"/>
          <w:rFonts w:hint="eastAsia"/>
        </w:rPr>
        <w:jc w:val="center"/>
      </w:pPr>
      <w:r>
        <w:rPr>
          <w:b w:val="1"/>
          <w:sz w:val="44"/>
          <w:rFonts w:hint="eastAsia"/>
        </w:rPr>
        <w:t>学</w:t>
      </w:r>
      <w:r>
        <w:rPr>
          <w:b w:val="1"/>
          <w:sz w:val="44"/>
        </w:rPr>
        <w:t xml:space="preserve"> 期 授 课 计 划 表</w:t>
      </w:r>
    </w:p>
    <w:p>
      <w:pPr>
        <w:pStyle w:val="style0"/>
        <w:rPr>
          <w:rFonts w:hint="eastAsia"/>
        </w:rPr>
      </w:pPr>
    </w:p>
    <w:tbl>
      <w:tblPr>
        <w:tblW w:w="10480" w:type="dxa"/>
        <w:tblInd w:type="dxa" w:w="0"/>
        <w:tblLook w:noVBand="1" w:noHBand="0" w:lastColumn="0" w:firstColumn="1" w:lastRow="0" w:firstRow="1" w:val="04A0"/>
      </w:tblPr>
      <w:tblGrid>
        <w:gridCol w:w="840"/>
        <w:gridCol w:w="2060"/>
        <w:gridCol w:w="3932"/>
        <w:gridCol w:w="2476"/>
        <w:gridCol w:w="600"/>
        <w:gridCol w:w="560"/>
      </w:tblGrid>
      <w:tr>
        <w:trPr>
          <w:trHeight w:val="801" w:hRule="atLeast"/>
        </w:trPr>
        <w:tc>
          <w:tcPr>
            <w:tcW w:w="840" w:type="dxa"/>
            <w:vAlign w:val="center"/>
            <w:tcBorders>
              <w:top w:val="single" w:color="auto" w:sz="8" w:space="0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/>
              </w:rPr>
              <w:jc w:val="center"/>
            </w:pPr>
            <w: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周次</w:t>
            </w:r>
          </w:p>
        </w:tc>
        <w:tc>
          <w:tcPr>
            <w:tcW w:w="206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时间</w:t>
            </w:r>
          </w:p>
        </w:tc>
        <w:tc>
          <w:tcPr>
            <w:tcW w:w="394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授课章节及内容提要</w:t>
            </w:r>
          </w:p>
        </w:tc>
        <w:tc>
          <w:tcPr>
            <w:tcW w:w="248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重点和难点</w:t>
            </w:r>
          </w:p>
        </w:tc>
        <w:tc>
          <w:tcPr>
            <w:tcW w:w="60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课时</w:t>
            </w:r>
          </w:p>
        </w:tc>
        <w:tc>
          <w:tcPr>
            <w:tcW w:w="56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备注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2.06--2.10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音乐鉴赏基础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我和我的祖国</w:t>
            </w:r>
          </w:p>
        </w:tc>
        <w:tc>
          <w:tcPr>
            <w:tcW w:w="60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hideMark/>
          </w:tcPr>
          <w:p>
            <w:pPr>
              <w:pStyle w:val="style0"/>
              <w:rPr>
                <w:kern w:val="0"/>
                <w:sz w:val="18"/>
                <w:szCs w:val="18"/>
                <w:rFonts w:ascii="楷体_GB2312" w:hAnsi="宋体" w:eastAsia="楷体_GB2312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2.13--2.17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中国民歌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民歌特点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2.20--2.24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外国歌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歌曲特点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4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2.27--3.03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中国艺术歌曲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中国艺术歌曲特点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5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3.06--3.10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外国艺术歌曲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外国艺术歌曲特点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6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3.13--3.17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中国民族器乐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不同民族器乐特点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7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3.20--3.24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民族器乐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不同民族器乐音色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8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3.27--3.31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民族器乐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器乐演奏不同的音乐情绪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9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4.03--4.07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外国器乐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钢琴曲  单簧管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清明节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10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4.10--4.14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外国器乐交响乐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交响乐形式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t xml:space="preserve"> 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4.17--4.21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所有曲目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音乐形式  情绪  情感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期中考试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4.24--4.28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中国戏曲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京剧豫剧昆曲黄梅戏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5.01--5.05</w:t>
            </w:r>
          </w:p>
        </w:tc>
        <w:tc>
          <w:tcPr>
            <w:tcW w:w="7580" w:type="dxa"/>
            <w:gridSpan w:val="4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000000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5.1假期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14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5.08--5.12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中国曲艺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棒子  京韵大鼓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15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5.15--5.19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中国歌剧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中通歌剧艺术表达情感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single" w:color="auto" w:sz="4" w:space="0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16</w:t>
            </w:r>
          </w:p>
        </w:tc>
        <w:tc>
          <w:tcPr>
            <w:tcW w:w="2060" w:type="dxa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5.22--5.26</w:t>
            </w:r>
          </w:p>
          <w:bookmarkStart w:id="0" w:name="_GoBack"/>
          <w:bookmarkEnd w:id="0"/>
        </w:tc>
        <w:tc>
          <w:tcPr>
            <w:tcW w:w="3940" w:type="dxa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外国歌剧</w:t>
            </w:r>
          </w:p>
        </w:tc>
        <w:tc>
          <w:tcPr>
            <w:tcW w:w="248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外国歌剧艺术</w:t>
            </w:r>
          </w:p>
        </w:tc>
        <w:tc>
          <w:tcPr>
            <w:tcW w:w="60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/>
                <w:rFonts w:ascii="宋体" w:hAnsi="宋体" w:eastAsia="宋体" w:cs="宋体" w:hint="default"/>
              </w:rPr>
              <w:t>2</w:t>
            </w:r>
          </w:p>
        </w:tc>
        <w:tc>
          <w:tcPr>
            <w:tcW w:w="56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17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5.29--6.02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流行歌曲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国的旋律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/>
                <w:rFonts w:ascii="宋体" w:hAnsi="宋体" w:eastAsia="宋体" w:cs="宋体" w:hint="default"/>
              </w:rPr>
              <w:t>2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18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6.05--6.09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舞蹈音乐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赞歌  反弹琵琶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/>
                <w:rFonts w:ascii="宋体" w:hAnsi="宋体" w:eastAsia="宋体" w:cs="宋体" w:hint="default"/>
              </w:rPr>
              <w:t>2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19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6.12--6.16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舞蹈音乐</w:t>
            </w:r>
          </w:p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鼓舞鉴赏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/>
                <w:rFonts w:ascii="宋体" w:hAnsi="宋体" w:eastAsia="宋体" w:cs="宋体" w:hint="default"/>
              </w:rPr>
              <w:t>2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20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6.19--6.23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音乐鉴赏课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音乐的形式  表达思想  情绪情感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/>
                <w:rFonts w:ascii="宋体" w:hAnsi="宋体" w:eastAsia="宋体" w:cs="宋体" w:hint="default"/>
              </w:rPr>
              <w:t>2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6.26--6.30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期末复习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7.03--7.07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期末考试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7.10--7.12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成绩分析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</w:tbl>
    <w:p>
      <w:pPr>
        <w:pStyle w:val="style0"/>
        <w:rPr>
          <w:rFonts w:hint="eastAsia"/>
        </w:rPr>
      </w:pPr>
    </w:p>
    <w:sectPr>
      <w:docGrid w:type="lines" w:linePitch="312"/>
      <w:pgSz w:w="11906" w:h="16838" w:orient="portrait"/>
      <w:pgMar w:top="720" w:right="720" w:bottom="720" w:left="720" w:header="851" w:footer="992" w:gutter="0"/>
      <w:cols w:space="425"/>
    </w:sectPr>
  </w:body>
</w:document>
</file>